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5918EE" w:rsidTr="005918EE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18EE" w:rsidRDefault="005918EE" w:rsidP="00A35E96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5918EE" w:rsidRDefault="005918EE" w:rsidP="00A35E9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5918EE" w:rsidRDefault="005918EE" w:rsidP="00A35E96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5918EE" w:rsidRDefault="005918EE" w:rsidP="00A35E9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5918EE" w:rsidRDefault="005918EE" w:rsidP="00A35E96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5918EE" w:rsidRDefault="005918EE" w:rsidP="00A35E96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5918EE" w:rsidRDefault="005918EE" w:rsidP="00A35E9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918EE" w:rsidRDefault="005918EE" w:rsidP="00A35E9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7415" cy="1036955"/>
                  <wp:effectExtent l="0" t="0" r="6985" b="0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18EE" w:rsidRDefault="005918EE" w:rsidP="00A35E9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5918EE" w:rsidRDefault="005918EE" w:rsidP="00A35E9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5918EE" w:rsidRDefault="005918EE" w:rsidP="00A35E9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5918EE" w:rsidRDefault="005918EE" w:rsidP="00A35E9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5918EE" w:rsidRDefault="005918EE" w:rsidP="00A35E9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5918EE" w:rsidRDefault="005918EE" w:rsidP="00A35E9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5918EE" w:rsidRDefault="005918EE" w:rsidP="00A35E9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5918EE" w:rsidRDefault="005918EE" w:rsidP="00A35E9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5918EE" w:rsidRDefault="005918EE" w:rsidP="005918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5918EE" w:rsidRDefault="005918EE" w:rsidP="005918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5918EE" w:rsidRPr="005918EE" w:rsidRDefault="005918EE" w:rsidP="005918EE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b/>
          <w:sz w:val="24"/>
          <w:u w:val="single"/>
          <w:lang w:val="ro-RO"/>
        </w:rPr>
      </w:pPr>
      <w:r w:rsidRPr="005918EE">
        <w:rPr>
          <w:rFonts w:ascii="Times New Roman" w:hAnsi="Times New Roman"/>
          <w:b/>
          <w:sz w:val="24"/>
          <w:u w:val="single"/>
          <w:lang w:val="ro-RO"/>
        </w:rPr>
        <w:t>Proiect</w:t>
      </w:r>
    </w:p>
    <w:p w:rsidR="005918EE" w:rsidRPr="005918EE" w:rsidRDefault="005918EE" w:rsidP="005918EE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highlight w:val="yellow"/>
          <w:lang w:val="ro-RO"/>
        </w:rPr>
      </w:pPr>
      <w:r w:rsidRPr="005918EE">
        <w:rPr>
          <w:rFonts w:ascii="Times New Roman" w:hAnsi="Times New Roman"/>
          <w:b/>
          <w:sz w:val="27"/>
          <w:szCs w:val="27"/>
          <w:lang w:val="ro-RO"/>
        </w:rPr>
        <w:t xml:space="preserve"> D E C I Z I A nr.5.7</w:t>
      </w:r>
      <w:r w:rsidRPr="005918EE">
        <w:rPr>
          <w:rFonts w:ascii="Times New Roman" w:hAnsi="Times New Roman"/>
          <w:b/>
          <w:sz w:val="27"/>
          <w:szCs w:val="27"/>
          <w:highlight w:val="yellow"/>
          <w:lang w:val="ro-RO"/>
        </w:rPr>
        <w:t xml:space="preserve"> </w:t>
      </w:r>
    </w:p>
    <w:p w:rsidR="005918EE" w:rsidRPr="005918EE" w:rsidRDefault="005918EE" w:rsidP="005918EE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5918EE">
        <w:rPr>
          <w:rFonts w:ascii="Times New Roman" w:hAnsi="Times New Roman"/>
          <w:b/>
          <w:sz w:val="27"/>
          <w:szCs w:val="27"/>
          <w:lang w:val="ro-RO"/>
        </w:rPr>
        <w:t>din 16 august  2021</w:t>
      </w:r>
    </w:p>
    <w:p w:rsidR="005918EE" w:rsidRPr="005918EE" w:rsidRDefault="005918EE" w:rsidP="005918EE">
      <w:pPr>
        <w:tabs>
          <w:tab w:val="left" w:pos="2505"/>
        </w:tabs>
        <w:spacing w:after="0" w:line="240" w:lineRule="auto"/>
        <w:rPr>
          <w:rFonts w:ascii="Times New Roman" w:hAnsi="Times New Roman"/>
          <w:sz w:val="27"/>
          <w:szCs w:val="27"/>
          <w:highlight w:val="yellow"/>
          <w:lang w:val="ro-RO"/>
        </w:rPr>
      </w:pPr>
    </w:p>
    <w:p w:rsidR="005918EE" w:rsidRPr="005918EE" w:rsidRDefault="005918EE" w:rsidP="005918EE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5918EE">
        <w:rPr>
          <w:rFonts w:ascii="Times New Roman" w:hAnsi="Times New Roman"/>
          <w:sz w:val="27"/>
          <w:szCs w:val="27"/>
          <w:lang w:val="ro-RO"/>
        </w:rPr>
        <w:t>Cu privire la modificarea bugetului</w:t>
      </w:r>
    </w:p>
    <w:p w:rsidR="005918EE" w:rsidRPr="005918EE" w:rsidRDefault="005918EE" w:rsidP="005918EE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5918EE">
        <w:rPr>
          <w:rFonts w:ascii="Times New Roman" w:hAnsi="Times New Roman"/>
          <w:sz w:val="27"/>
          <w:szCs w:val="27"/>
          <w:lang w:val="ro-RO"/>
        </w:rPr>
        <w:t>local Teleșeu pentru anul 2021</w:t>
      </w:r>
    </w:p>
    <w:p w:rsidR="005918EE" w:rsidRPr="005918EE" w:rsidRDefault="005918EE" w:rsidP="005918EE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highlight w:val="yellow"/>
          <w:lang w:val="ro-RO"/>
        </w:rPr>
      </w:pPr>
    </w:p>
    <w:p w:rsidR="005918EE" w:rsidRPr="005918EE" w:rsidRDefault="005918EE" w:rsidP="005918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5918EE">
        <w:rPr>
          <w:rFonts w:ascii="Times New Roman" w:hAnsi="Times New Roman"/>
          <w:sz w:val="27"/>
          <w:szCs w:val="27"/>
          <w:lang w:val="ro-RO"/>
        </w:rPr>
        <w:tab/>
        <w:t>În temeiul art.14 alin.(2) lit.n)</w:t>
      </w:r>
      <w:r w:rsidR="006403BD">
        <w:rPr>
          <w:rFonts w:ascii="Times New Roman" w:hAnsi="Times New Roman"/>
          <w:sz w:val="27"/>
          <w:szCs w:val="27"/>
          <w:lang w:val="ro-RO"/>
        </w:rPr>
        <w:t>, art.19 alin.(3)</w:t>
      </w:r>
      <w:r w:rsidRPr="005918EE">
        <w:rPr>
          <w:rFonts w:ascii="Times New Roman" w:hAnsi="Times New Roman"/>
          <w:sz w:val="27"/>
          <w:szCs w:val="27"/>
          <w:lang w:val="ro-RO"/>
        </w:rPr>
        <w:t xml:space="preserve"> a Legii nr.436 din 28.12.2006 privind administrația publică</w:t>
      </w:r>
      <w:r w:rsidR="000911AF">
        <w:rPr>
          <w:rFonts w:ascii="Times New Roman" w:hAnsi="Times New Roman"/>
          <w:sz w:val="27"/>
          <w:szCs w:val="27"/>
          <w:lang w:val="ro-RO"/>
        </w:rPr>
        <w:t xml:space="preserve"> locală, art.28 alin.(2) lit.a), art.29, art.32 lit.a) </w:t>
      </w:r>
      <w:r w:rsidRPr="005918EE">
        <w:rPr>
          <w:rFonts w:ascii="Times New Roman" w:hAnsi="Times New Roman"/>
          <w:sz w:val="27"/>
          <w:szCs w:val="27"/>
          <w:lang w:val="ro-RO"/>
        </w:rPr>
        <w:t>din Legea finanțelor publice locale nr.397</w:t>
      </w:r>
      <w:r w:rsidR="000911AF">
        <w:rPr>
          <w:rFonts w:ascii="Times New Roman" w:hAnsi="Times New Roman"/>
          <w:sz w:val="27"/>
          <w:szCs w:val="27"/>
          <w:lang w:val="ro-RO"/>
        </w:rPr>
        <w:t>/</w:t>
      </w:r>
      <w:r w:rsidRPr="005918EE">
        <w:rPr>
          <w:rFonts w:ascii="Times New Roman" w:hAnsi="Times New Roman"/>
          <w:sz w:val="27"/>
          <w:szCs w:val="27"/>
          <w:lang w:val="ro-RO"/>
        </w:rPr>
        <w:t>16.10.2003 cu modificările și completările ulterioare, în legătură cu necesitatea revizuirii cheltuielilor, examinînd nota informativă a contab</w:t>
      </w:r>
      <w:r w:rsidR="000911AF">
        <w:rPr>
          <w:rFonts w:ascii="Times New Roman" w:hAnsi="Times New Roman"/>
          <w:sz w:val="27"/>
          <w:szCs w:val="27"/>
          <w:lang w:val="ro-RO"/>
        </w:rPr>
        <w:t>i</w:t>
      </w:r>
      <w:r w:rsidRPr="005918EE">
        <w:rPr>
          <w:rFonts w:ascii="Times New Roman" w:hAnsi="Times New Roman"/>
          <w:sz w:val="27"/>
          <w:szCs w:val="27"/>
          <w:lang w:val="ro-RO"/>
        </w:rPr>
        <w:t>lului-șef a Primăriei Teleșeu, luînd în considerație avizul pozitiv al Comisiei de specialitate Activități Economice, Buget și Finanțe, Consiliul Local Teleșeu,</w:t>
      </w:r>
    </w:p>
    <w:p w:rsidR="005918EE" w:rsidRPr="005918EE" w:rsidRDefault="005918EE" w:rsidP="005918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highlight w:val="yellow"/>
          <w:lang w:val="ro-RO"/>
        </w:rPr>
      </w:pPr>
    </w:p>
    <w:p w:rsidR="005918EE" w:rsidRDefault="005918EE" w:rsidP="005918E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918EE">
        <w:rPr>
          <w:rFonts w:ascii="Times New Roman" w:hAnsi="Times New Roman"/>
          <w:sz w:val="27"/>
          <w:szCs w:val="27"/>
          <w:lang w:val="ro-RO"/>
        </w:rPr>
        <w:t>D E C I D E</w:t>
      </w:r>
      <w:r w:rsidRPr="005918EE">
        <w:rPr>
          <w:rFonts w:ascii="Times New Roman" w:hAnsi="Times New Roman"/>
          <w:sz w:val="27"/>
          <w:szCs w:val="27"/>
        </w:rPr>
        <w:t>:</w:t>
      </w:r>
    </w:p>
    <w:p w:rsidR="005918EE" w:rsidRPr="005918EE" w:rsidRDefault="005918EE" w:rsidP="005918E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val="ro-RO"/>
        </w:rPr>
      </w:pPr>
    </w:p>
    <w:p w:rsidR="00FB6DE2" w:rsidRDefault="000911AF" w:rsidP="00FB6DE2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FB6DE2">
        <w:rPr>
          <w:rFonts w:ascii="Times New Roman" w:hAnsi="Times New Roman"/>
          <w:sz w:val="27"/>
          <w:szCs w:val="27"/>
          <w:lang w:val="ro-RO"/>
        </w:rPr>
        <w:t xml:space="preserve">Din contul soldului format în urma executării bugetului pentru anul 2020 de alocat mijloace financiare în sumă de </w:t>
      </w:r>
      <w:r w:rsidR="00FB6DE2" w:rsidRPr="00FB6DE2">
        <w:rPr>
          <w:rFonts w:ascii="Times New Roman" w:hAnsi="Times New Roman"/>
          <w:sz w:val="27"/>
          <w:szCs w:val="27"/>
          <w:lang w:val="ro-RO"/>
        </w:rPr>
        <w:t xml:space="preserve">32 835,00 lei la Gospodăria comunală </w:t>
      </w:r>
      <w:r w:rsidR="00FB6DE2">
        <w:rPr>
          <w:rFonts w:ascii="Times New Roman" w:hAnsi="Times New Roman"/>
          <w:sz w:val="27"/>
          <w:szCs w:val="27"/>
          <w:lang w:val="ro-RO"/>
        </w:rPr>
        <w:t>pentru procurarea utilaj</w:t>
      </w:r>
      <w:r w:rsidR="003848B5">
        <w:rPr>
          <w:rFonts w:ascii="Times New Roman" w:hAnsi="Times New Roman"/>
          <w:sz w:val="27"/>
          <w:szCs w:val="27"/>
          <w:lang w:val="ro-RO"/>
        </w:rPr>
        <w:t xml:space="preserve">ului tehnic la fîntîna arteziană inclusiv: </w:t>
      </w:r>
    </w:p>
    <w:p w:rsidR="00FB6DE2" w:rsidRDefault="00FB6DE2" w:rsidP="00FB6DE2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Motor polifazat 3P 7.5 kw –</w:t>
      </w:r>
      <w:r w:rsidR="001E5783">
        <w:rPr>
          <w:rFonts w:ascii="Times New Roman" w:hAnsi="Times New Roman"/>
          <w:sz w:val="27"/>
          <w:szCs w:val="27"/>
          <w:lang w:val="ro-RO"/>
        </w:rPr>
        <w:t xml:space="preserve"> 16 000</w:t>
      </w:r>
      <w:r>
        <w:rPr>
          <w:rFonts w:ascii="Times New Roman" w:hAnsi="Times New Roman"/>
          <w:sz w:val="27"/>
          <w:szCs w:val="27"/>
          <w:lang w:val="ro-RO"/>
        </w:rPr>
        <w:t>,</w:t>
      </w:r>
      <w:r w:rsidR="001E5783">
        <w:rPr>
          <w:rFonts w:ascii="Times New Roman" w:hAnsi="Times New Roman"/>
          <w:sz w:val="27"/>
          <w:szCs w:val="27"/>
          <w:lang w:val="ro-RO"/>
        </w:rPr>
        <w:t>00</w:t>
      </w:r>
      <w:r>
        <w:rPr>
          <w:rFonts w:ascii="Times New Roman" w:hAnsi="Times New Roman"/>
          <w:sz w:val="27"/>
          <w:szCs w:val="27"/>
          <w:lang w:val="ro-RO"/>
        </w:rPr>
        <w:t xml:space="preserve"> lei</w:t>
      </w:r>
      <w:r w:rsidR="007C0E7D">
        <w:rPr>
          <w:rFonts w:ascii="Times New Roman" w:hAnsi="Times New Roman"/>
          <w:sz w:val="27"/>
          <w:szCs w:val="27"/>
          <w:lang w:val="ro-RO"/>
        </w:rPr>
        <w:t>;</w:t>
      </w:r>
    </w:p>
    <w:p w:rsidR="007C0E7D" w:rsidRDefault="007C0E7D" w:rsidP="00FB6DE2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Pompă subm. Multietajată E-tech VS8/42 – 8 835,00 lei;</w:t>
      </w:r>
    </w:p>
    <w:p w:rsidR="007C0E7D" w:rsidRDefault="007C0E7D" w:rsidP="00FB6DE2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Servicii de instalare/mon</w:t>
      </w:r>
      <w:r w:rsidR="001E5783">
        <w:rPr>
          <w:rFonts w:ascii="Times New Roman" w:hAnsi="Times New Roman"/>
          <w:sz w:val="27"/>
          <w:szCs w:val="27"/>
          <w:lang w:val="ro-RO"/>
        </w:rPr>
        <w:t>tare/punere în funcție pompa – 4 000</w:t>
      </w:r>
      <w:r>
        <w:rPr>
          <w:rFonts w:ascii="Times New Roman" w:hAnsi="Times New Roman"/>
          <w:sz w:val="27"/>
          <w:szCs w:val="27"/>
          <w:lang w:val="ro-RO"/>
        </w:rPr>
        <w:t>,</w:t>
      </w:r>
      <w:r w:rsidR="001E5783">
        <w:rPr>
          <w:rFonts w:ascii="Times New Roman" w:hAnsi="Times New Roman"/>
          <w:sz w:val="27"/>
          <w:szCs w:val="27"/>
          <w:lang w:val="ro-RO"/>
        </w:rPr>
        <w:t>00</w:t>
      </w:r>
      <w:r>
        <w:rPr>
          <w:rFonts w:ascii="Times New Roman" w:hAnsi="Times New Roman"/>
          <w:sz w:val="27"/>
          <w:szCs w:val="27"/>
          <w:lang w:val="ro-RO"/>
        </w:rPr>
        <w:t xml:space="preserve"> lei;</w:t>
      </w:r>
    </w:p>
    <w:p w:rsidR="007C0E7D" w:rsidRDefault="001E5783" w:rsidP="00FB6DE2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Servicii macara MAZ 504 – 4</w:t>
      </w:r>
      <w:r w:rsidR="007C0E7D">
        <w:rPr>
          <w:rFonts w:ascii="Times New Roman" w:hAnsi="Times New Roman"/>
          <w:sz w:val="27"/>
          <w:szCs w:val="27"/>
          <w:lang w:val="ro-RO"/>
        </w:rPr>
        <w:t> </w:t>
      </w:r>
      <w:r>
        <w:rPr>
          <w:rFonts w:ascii="Times New Roman" w:hAnsi="Times New Roman"/>
          <w:sz w:val="27"/>
          <w:szCs w:val="27"/>
          <w:lang w:val="ro-RO"/>
        </w:rPr>
        <w:t>000</w:t>
      </w:r>
      <w:r w:rsidR="007C0E7D">
        <w:rPr>
          <w:rFonts w:ascii="Times New Roman" w:hAnsi="Times New Roman"/>
          <w:sz w:val="27"/>
          <w:szCs w:val="27"/>
          <w:lang w:val="ro-RO"/>
        </w:rPr>
        <w:t>,</w:t>
      </w:r>
      <w:r>
        <w:rPr>
          <w:rFonts w:ascii="Times New Roman" w:hAnsi="Times New Roman"/>
          <w:sz w:val="27"/>
          <w:szCs w:val="27"/>
          <w:lang w:val="ro-RO"/>
        </w:rPr>
        <w:t>00</w:t>
      </w:r>
      <w:r w:rsidR="007C0E7D">
        <w:rPr>
          <w:rFonts w:ascii="Times New Roman" w:hAnsi="Times New Roman"/>
          <w:sz w:val="27"/>
          <w:szCs w:val="27"/>
          <w:lang w:val="ro-RO"/>
        </w:rPr>
        <w:t xml:space="preserve"> lei;</w:t>
      </w:r>
    </w:p>
    <w:p w:rsidR="0033654F" w:rsidRDefault="0033654F" w:rsidP="0033654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33654F">
        <w:rPr>
          <w:rFonts w:ascii="Times New Roman" w:hAnsi="Times New Roman"/>
          <w:sz w:val="27"/>
          <w:szCs w:val="27"/>
          <w:lang w:val="ro-RO"/>
        </w:rPr>
        <w:t xml:space="preserve"> </w:t>
      </w:r>
      <w:r>
        <w:rPr>
          <w:rFonts w:ascii="Times New Roman" w:hAnsi="Times New Roman"/>
          <w:sz w:val="27"/>
          <w:szCs w:val="27"/>
          <w:lang w:val="ro-RO"/>
        </w:rPr>
        <w:t>Prezenta Decizie intră în vigoare la data includerii în Registrul</w:t>
      </w:r>
      <w:bookmarkStart w:id="0" w:name="_GoBack"/>
      <w:bookmarkEnd w:id="0"/>
      <w:r>
        <w:rPr>
          <w:rFonts w:ascii="Times New Roman" w:hAnsi="Times New Roman"/>
          <w:sz w:val="27"/>
          <w:szCs w:val="27"/>
          <w:lang w:val="ro-RO"/>
        </w:rPr>
        <w:t xml:space="preserve"> de Stat al actelor locale.</w:t>
      </w:r>
    </w:p>
    <w:p w:rsidR="0033654F" w:rsidRPr="0033654F" w:rsidRDefault="0033654F" w:rsidP="0033654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highlight w:val="yellow"/>
          <w:lang w:val="ro-RO"/>
        </w:rPr>
      </w:pPr>
      <w:r w:rsidRPr="0033654F">
        <w:rPr>
          <w:rFonts w:ascii="Times New Roman" w:hAnsi="Times New Roman"/>
          <w:sz w:val="27"/>
          <w:szCs w:val="27"/>
          <w:lang w:val="ro-RO"/>
        </w:rPr>
        <w:t>Se numește responsabil de executarea prevederilor prezentei Decizii contabilul-șef  d-na Maria Frunze.</w:t>
      </w:r>
    </w:p>
    <w:p w:rsidR="005918EE" w:rsidRPr="005918EE" w:rsidRDefault="005918EE" w:rsidP="005918E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5918EE">
        <w:rPr>
          <w:rFonts w:ascii="Times New Roman" w:hAnsi="Times New Roman"/>
          <w:sz w:val="27"/>
          <w:szCs w:val="27"/>
          <w:lang w:val="ro-RO"/>
        </w:rPr>
        <w:t xml:space="preserve">Controlul asupra executării prezentei Decizii se pune pe seama primarului satului Teleșeu dlui Ion Dediu. </w:t>
      </w:r>
    </w:p>
    <w:p w:rsidR="005918EE" w:rsidRPr="005918EE" w:rsidRDefault="005918EE" w:rsidP="005918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highlight w:val="yellow"/>
          <w:lang w:val="ro-RO"/>
        </w:rPr>
      </w:pPr>
    </w:p>
    <w:p w:rsidR="005918EE" w:rsidRPr="005918EE" w:rsidRDefault="005918EE" w:rsidP="005918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highlight w:val="yellow"/>
        </w:rPr>
      </w:pPr>
      <w:r>
        <w:rPr>
          <w:rFonts w:ascii="Times New Roman" w:hAnsi="Times New Roman"/>
          <w:sz w:val="27"/>
          <w:szCs w:val="27"/>
          <w:highlight w:val="yellow"/>
        </w:rPr>
        <w:t xml:space="preserve"> </w:t>
      </w:r>
    </w:p>
    <w:p w:rsidR="005918EE" w:rsidRPr="005918EE" w:rsidRDefault="005918EE" w:rsidP="005918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5918EE" w:rsidRPr="005918EE" w:rsidRDefault="005918EE" w:rsidP="005918EE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val="ro-RO" w:eastAsia="ru-RU"/>
        </w:rPr>
      </w:pPr>
      <w:r w:rsidRPr="005918EE">
        <w:rPr>
          <w:rFonts w:ascii="Times New Roman" w:hAnsi="Times New Roman"/>
          <w:sz w:val="27"/>
          <w:szCs w:val="27"/>
        </w:rPr>
        <w:t xml:space="preserve"> </w:t>
      </w:r>
      <w:r w:rsidRPr="005918EE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Președintele ședinței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     </w:t>
      </w:r>
      <w:r w:rsidRPr="005918EE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  </w:t>
      </w:r>
    </w:p>
    <w:p w:rsidR="005918EE" w:rsidRDefault="005918EE" w:rsidP="005918EE">
      <w:pPr>
        <w:spacing w:after="0" w:line="240" w:lineRule="auto"/>
        <w:contextualSpacing/>
        <w:rPr>
          <w:rFonts w:ascii="Times New Roman" w:eastAsia="Times New Roman" w:hAnsi="Times New Roman"/>
          <w:sz w:val="27"/>
          <w:szCs w:val="27"/>
          <w:lang w:val="ro-RO" w:eastAsia="ru-RU"/>
        </w:rPr>
      </w:pPr>
      <w:r w:rsidRPr="005918EE">
        <w:rPr>
          <w:rFonts w:ascii="Times New Roman" w:eastAsia="Times New Roman" w:hAnsi="Times New Roman"/>
          <w:sz w:val="27"/>
          <w:szCs w:val="27"/>
          <w:lang w:val="ro-RO" w:eastAsia="ru-RU"/>
        </w:rPr>
        <w:t>A semnat: Data___________</w:t>
      </w:r>
      <w:r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</w:t>
      </w:r>
    </w:p>
    <w:p w:rsidR="0033654F" w:rsidRDefault="0033654F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Contrasemnat:</w:t>
      </w:r>
    </w:p>
    <w:p w:rsidR="0033654F" w:rsidRPr="0033654F" w:rsidRDefault="0033654F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Secretar al Consiliului local Teleșeu                                                                    Svetlana Pănuță</w:t>
      </w:r>
    </w:p>
    <w:sectPr w:rsidR="0033654F" w:rsidRPr="0033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E08"/>
    <w:multiLevelType w:val="hybridMultilevel"/>
    <w:tmpl w:val="D06664A2"/>
    <w:lvl w:ilvl="0" w:tplc="A4A495BC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D7A31BF"/>
    <w:multiLevelType w:val="hybridMultilevel"/>
    <w:tmpl w:val="CE367FAC"/>
    <w:lvl w:ilvl="0" w:tplc="62EA1E04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1A22277"/>
    <w:multiLevelType w:val="hybridMultilevel"/>
    <w:tmpl w:val="85581020"/>
    <w:lvl w:ilvl="0" w:tplc="60DC593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F8"/>
    <w:rsid w:val="000911AF"/>
    <w:rsid w:val="000F7FDA"/>
    <w:rsid w:val="001E5783"/>
    <w:rsid w:val="0033654F"/>
    <w:rsid w:val="003848B5"/>
    <w:rsid w:val="003D411B"/>
    <w:rsid w:val="005918EE"/>
    <w:rsid w:val="006403BD"/>
    <w:rsid w:val="00730B16"/>
    <w:rsid w:val="007C0E7D"/>
    <w:rsid w:val="00BF75F8"/>
    <w:rsid w:val="00C93C04"/>
    <w:rsid w:val="00EE25D9"/>
    <w:rsid w:val="00FB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E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8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18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8E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E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8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18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8E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2021-08-16T11:11:00Z</cp:lastPrinted>
  <dcterms:created xsi:type="dcterms:W3CDTF">2021-08-04T11:45:00Z</dcterms:created>
  <dcterms:modified xsi:type="dcterms:W3CDTF">2021-08-16T11:24:00Z</dcterms:modified>
</cp:coreProperties>
</file>